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EBE" w:rsidRPr="002E248D" w:rsidRDefault="00E25188" w:rsidP="0002434B">
      <w:pPr>
        <w:spacing w:line="240" w:lineRule="auto"/>
        <w:jc w:val="center"/>
        <w:rPr>
          <w:b/>
          <w:sz w:val="44"/>
          <w:szCs w:val="44"/>
        </w:rPr>
      </w:pPr>
      <w:r w:rsidRPr="002E248D">
        <w:rPr>
          <w:b/>
          <w:sz w:val="44"/>
          <w:szCs w:val="44"/>
        </w:rPr>
        <w:t>Investment Policy</w:t>
      </w:r>
    </w:p>
    <w:p w:rsidR="00E25188" w:rsidRPr="00F3266D" w:rsidRDefault="00C7429B" w:rsidP="0002434B">
      <w:pPr>
        <w:spacing w:line="240" w:lineRule="auto"/>
        <w:jc w:val="center"/>
        <w:rPr>
          <w:b/>
          <w:sz w:val="40"/>
          <w:szCs w:val="40"/>
        </w:rPr>
      </w:pPr>
      <w:r w:rsidRPr="00F3266D">
        <w:rPr>
          <w:b/>
          <w:sz w:val="40"/>
          <w:szCs w:val="40"/>
        </w:rPr>
        <w:t xml:space="preserve">Building Owners </w:t>
      </w:r>
      <w:r w:rsidR="00F3266D" w:rsidRPr="00F3266D">
        <w:rPr>
          <w:b/>
          <w:sz w:val="40"/>
          <w:szCs w:val="40"/>
        </w:rPr>
        <w:t>and Managers</w:t>
      </w:r>
      <w:r w:rsidRPr="00F3266D">
        <w:rPr>
          <w:b/>
          <w:sz w:val="40"/>
          <w:szCs w:val="40"/>
        </w:rPr>
        <w:t xml:space="preserve"> Association </w:t>
      </w:r>
      <w:r w:rsidR="007C46E1" w:rsidRPr="00F3266D">
        <w:rPr>
          <w:b/>
          <w:sz w:val="40"/>
          <w:szCs w:val="40"/>
        </w:rPr>
        <w:t xml:space="preserve">of </w:t>
      </w:r>
      <w:r w:rsidRPr="00F3266D">
        <w:rPr>
          <w:b/>
          <w:sz w:val="40"/>
          <w:szCs w:val="40"/>
        </w:rPr>
        <w:t>Iowa</w:t>
      </w:r>
      <w:r w:rsidR="00F3266D">
        <w:rPr>
          <w:b/>
          <w:sz w:val="40"/>
          <w:szCs w:val="40"/>
        </w:rPr>
        <w:br/>
        <w:t>(BOMA Iowa)</w:t>
      </w:r>
    </w:p>
    <w:p w:rsidR="00BF0D67" w:rsidRDefault="00F3266D" w:rsidP="0002434B">
      <w:pPr>
        <w:spacing w:line="240" w:lineRule="auto"/>
        <w:jc w:val="center"/>
      </w:pPr>
      <w:r>
        <w:t>1</w:t>
      </w:r>
      <w:r w:rsidR="00C7429B">
        <w:t>/1</w:t>
      </w:r>
      <w:r>
        <w:t>2/2016</w:t>
      </w:r>
    </w:p>
    <w:p w:rsidR="00E25188" w:rsidRDefault="00BB671D" w:rsidP="00BF0D67">
      <w:pPr>
        <w:jc w:val="center"/>
      </w:pPr>
      <w:r>
        <w:pict>
          <v:rect id="_x0000_i1025" style="width:0;height:1.5pt" o:hralign="center" o:hrstd="t" o:hr="t" fillcolor="gray" stroked="f"/>
        </w:pict>
      </w:r>
    </w:p>
    <w:p w:rsidR="00E25188" w:rsidRPr="00BF0D67" w:rsidRDefault="00E25188" w:rsidP="00BF0D67">
      <w:pPr>
        <w:jc w:val="center"/>
        <w:rPr>
          <w:b/>
          <w:sz w:val="28"/>
          <w:szCs w:val="28"/>
          <w:u w:val="single"/>
        </w:rPr>
      </w:pPr>
      <w:r w:rsidRPr="00BF0D67">
        <w:rPr>
          <w:b/>
          <w:sz w:val="28"/>
          <w:szCs w:val="28"/>
          <w:u w:val="single"/>
        </w:rPr>
        <w:t>Philosophy</w:t>
      </w:r>
    </w:p>
    <w:p w:rsidR="00BF0D67" w:rsidRDefault="00E25188">
      <w:r>
        <w:t xml:space="preserve">The policy for </w:t>
      </w:r>
      <w:r w:rsidR="00F3266D">
        <w:t>BOMA Iowa</w:t>
      </w:r>
      <w:r>
        <w:t xml:space="preserve"> is to maintain an investment portfolio</w:t>
      </w:r>
      <w:r w:rsidR="00F3266D">
        <w:t xml:space="preserve"> consistent with its mission</w:t>
      </w:r>
      <w:r>
        <w:t>. This policy is expressed through the following; investment objectives, procedures and responsibilities, and authorized investments.</w:t>
      </w:r>
    </w:p>
    <w:p w:rsidR="00E25188" w:rsidRPr="00BF0D67" w:rsidRDefault="00E25188" w:rsidP="00BF0D67">
      <w:pPr>
        <w:jc w:val="center"/>
        <w:rPr>
          <w:b/>
          <w:sz w:val="28"/>
          <w:szCs w:val="28"/>
          <w:u w:val="single"/>
        </w:rPr>
      </w:pPr>
      <w:r w:rsidRPr="00BF0D67">
        <w:rPr>
          <w:b/>
          <w:sz w:val="28"/>
          <w:szCs w:val="28"/>
          <w:u w:val="single"/>
        </w:rPr>
        <w:t>Objectives</w:t>
      </w:r>
    </w:p>
    <w:p w:rsidR="00E25188" w:rsidRPr="003B7B70" w:rsidRDefault="00E25188">
      <w:r w:rsidRPr="003B7B70">
        <w:t>The investment objectives are to:</w:t>
      </w:r>
      <w:bookmarkStart w:id="0" w:name="_GoBack"/>
      <w:bookmarkEnd w:id="0"/>
    </w:p>
    <w:p w:rsidR="003B7B70" w:rsidRPr="002E248D" w:rsidRDefault="002E248D" w:rsidP="00E25188">
      <w:pPr>
        <w:pStyle w:val="ListParagraph"/>
        <w:numPr>
          <w:ilvl w:val="0"/>
          <w:numId w:val="1"/>
        </w:numPr>
      </w:pPr>
      <w:r>
        <w:rPr>
          <w:rFonts w:cs="Times New Roman"/>
        </w:rPr>
        <w:t>M</w:t>
      </w:r>
      <w:r w:rsidR="00C7429B">
        <w:rPr>
          <w:rFonts w:cs="Times New Roman"/>
        </w:rPr>
        <w:t xml:space="preserve">aintain asset value and </w:t>
      </w:r>
      <w:r w:rsidR="003B7B70" w:rsidRPr="003B7B70">
        <w:rPr>
          <w:rFonts w:cs="Times New Roman"/>
        </w:rPr>
        <w:t xml:space="preserve">achieve a high level of current income with a secondary consideration being capital appreciation to offset the impact of inflation on the purchasing power of these assets. </w:t>
      </w:r>
    </w:p>
    <w:p w:rsidR="00E25188" w:rsidRPr="003B7B70" w:rsidRDefault="003B7B70" w:rsidP="00E25188">
      <w:pPr>
        <w:pStyle w:val="ListParagraph"/>
        <w:numPr>
          <w:ilvl w:val="0"/>
          <w:numId w:val="1"/>
        </w:numPr>
      </w:pPr>
      <w:r w:rsidRPr="003B7B70">
        <w:rPr>
          <w:rFonts w:cs="Times New Roman"/>
        </w:rPr>
        <w:t>The majority of the portfolio will be held in fixed income securities or other income-producing vehicles with moderate levels of principal volatility. A smaller percentage of the portfolio will be invested in a combination of equity securities, commodities and real estate to provide the potential for capital appreciation</w:t>
      </w:r>
    </w:p>
    <w:p w:rsidR="00E25188" w:rsidRPr="003B7B70" w:rsidRDefault="00E25188" w:rsidP="00E25188">
      <w:pPr>
        <w:pStyle w:val="ListParagraph"/>
        <w:numPr>
          <w:ilvl w:val="0"/>
          <w:numId w:val="1"/>
        </w:numPr>
      </w:pPr>
      <w:r w:rsidRPr="00D5377B">
        <w:rPr>
          <w:highlight w:val="lightGray"/>
        </w:rPr>
        <w:t xml:space="preserve">Obtain investments with contractual maturities not exceeding </w:t>
      </w:r>
      <w:r w:rsidR="00C7429B" w:rsidRPr="00D5377B">
        <w:rPr>
          <w:highlight w:val="lightGray"/>
        </w:rPr>
        <w:t>two</w:t>
      </w:r>
      <w:r w:rsidR="00DD5D34" w:rsidRPr="00D5377B">
        <w:rPr>
          <w:highlight w:val="lightGray"/>
        </w:rPr>
        <w:t xml:space="preserve"> </w:t>
      </w:r>
      <w:r w:rsidRPr="00D5377B">
        <w:rPr>
          <w:highlight w:val="lightGray"/>
        </w:rPr>
        <w:t>years from date of purchase</w:t>
      </w:r>
      <w:r w:rsidRPr="003B7B70">
        <w:t>.</w:t>
      </w:r>
    </w:p>
    <w:p w:rsidR="00E25188" w:rsidRPr="003B7B70" w:rsidRDefault="00E25188" w:rsidP="00E25188">
      <w:pPr>
        <w:pStyle w:val="ListParagraph"/>
        <w:numPr>
          <w:ilvl w:val="0"/>
          <w:numId w:val="1"/>
        </w:numPr>
      </w:pPr>
      <w:r w:rsidRPr="003B7B70">
        <w:t>Maximize earnings on invested funds consistent with other investment objectives.</w:t>
      </w:r>
    </w:p>
    <w:p w:rsidR="00E25188" w:rsidRPr="003B7B70" w:rsidRDefault="00D17E93" w:rsidP="00E25188">
      <w:r w:rsidRPr="003B7B70">
        <w:t xml:space="preserve">Fixed Income </w:t>
      </w:r>
      <w:r w:rsidR="00E25188" w:rsidRPr="003B7B70">
        <w:t xml:space="preserve">Investments acquired will be suitable to be held to maturity. However, sale prior to maturity may be warranted if the quality of the investment has deteriorated or cash flow needs dictate. </w:t>
      </w:r>
      <w:r w:rsidR="003B7B70" w:rsidRPr="003B7B70">
        <w:t xml:space="preserve"> </w:t>
      </w:r>
    </w:p>
    <w:p w:rsidR="0002434B" w:rsidRPr="00BF0D67" w:rsidRDefault="0002434B" w:rsidP="0002434B">
      <w:pPr>
        <w:jc w:val="center"/>
        <w:rPr>
          <w:b/>
          <w:sz w:val="28"/>
          <w:szCs w:val="28"/>
          <w:u w:val="single"/>
        </w:rPr>
      </w:pPr>
      <w:r w:rsidRPr="00BF0D67">
        <w:rPr>
          <w:b/>
          <w:sz w:val="28"/>
          <w:szCs w:val="28"/>
          <w:u w:val="single"/>
        </w:rPr>
        <w:t>Procedures</w:t>
      </w:r>
      <w:r w:rsidR="00B36C40">
        <w:rPr>
          <w:b/>
          <w:sz w:val="28"/>
          <w:szCs w:val="28"/>
          <w:u w:val="single"/>
        </w:rPr>
        <w:t>, Guidelines</w:t>
      </w:r>
      <w:r w:rsidRPr="00BF0D67">
        <w:rPr>
          <w:b/>
          <w:sz w:val="28"/>
          <w:szCs w:val="28"/>
          <w:u w:val="single"/>
        </w:rPr>
        <w:t xml:space="preserve"> and Responsibilities</w:t>
      </w:r>
    </w:p>
    <w:p w:rsidR="0002434B" w:rsidRDefault="0002434B" w:rsidP="0002434B">
      <w:pPr>
        <w:pStyle w:val="ListParagraph"/>
        <w:numPr>
          <w:ilvl w:val="0"/>
          <w:numId w:val="2"/>
        </w:numPr>
      </w:pPr>
      <w:r w:rsidRPr="003B7B70">
        <w:t xml:space="preserve">All Investments and investment accounts will be in the name of </w:t>
      </w:r>
      <w:r w:rsidR="00AB6E20">
        <w:t xml:space="preserve">Building Owners and Managers Association of Iowa or </w:t>
      </w:r>
      <w:r w:rsidR="00C7429B">
        <w:t>BOMA Iowa</w:t>
      </w:r>
      <w:r w:rsidRPr="003B7B70">
        <w:t>.</w:t>
      </w:r>
    </w:p>
    <w:p w:rsidR="0002434B" w:rsidRPr="003B7B70" w:rsidRDefault="0002434B" w:rsidP="0002434B">
      <w:pPr>
        <w:pStyle w:val="ListParagraph"/>
        <w:numPr>
          <w:ilvl w:val="0"/>
          <w:numId w:val="2"/>
        </w:numPr>
      </w:pPr>
      <w:r w:rsidRPr="003B7B70">
        <w:t xml:space="preserve">Periodic Statements and correspondence will be forwarded to </w:t>
      </w:r>
      <w:r w:rsidR="00C7429B">
        <w:t>BOMA Iowa</w:t>
      </w:r>
      <w:r w:rsidRPr="003B7B70">
        <w:t>.</w:t>
      </w:r>
    </w:p>
    <w:p w:rsidR="0002434B" w:rsidRDefault="00C7429B" w:rsidP="0002434B">
      <w:pPr>
        <w:pStyle w:val="ListParagraph"/>
        <w:numPr>
          <w:ilvl w:val="0"/>
          <w:numId w:val="2"/>
        </w:numPr>
      </w:pPr>
      <w:r>
        <w:t xml:space="preserve">BOMA Iowa </w:t>
      </w:r>
      <w:r w:rsidR="0002434B" w:rsidRPr="003B7B70">
        <w:t>will limit</w:t>
      </w:r>
      <w:r w:rsidR="004A0E80">
        <w:t xml:space="preserve"> and/or</w:t>
      </w:r>
      <w:r w:rsidR="0002434B" w:rsidRPr="003B7B70">
        <w:t xml:space="preserve"> maintain investments not </w:t>
      </w:r>
      <w:r w:rsidR="004A0E80">
        <w:t>to exceed</w:t>
      </w:r>
      <w:r w:rsidR="0002434B" w:rsidRPr="003B7B70">
        <w:t xml:space="preserve"> FDIC insurance limits, currently at $250,000 per financial institution.</w:t>
      </w:r>
    </w:p>
    <w:p w:rsidR="00961C09" w:rsidRPr="003B7B70" w:rsidRDefault="00961C09" w:rsidP="00961C09">
      <w:pPr>
        <w:pStyle w:val="ListParagraph"/>
        <w:numPr>
          <w:ilvl w:val="0"/>
          <w:numId w:val="2"/>
        </w:numPr>
      </w:pPr>
      <w:r>
        <w:rPr>
          <w:rFonts w:cs="Times New Roman"/>
        </w:rPr>
        <w:t xml:space="preserve">BOMA Iowa shall maintain a minimum of $40,000 - $60,000 cash in the Money Market account at all times.   If at the end of the fiscal year, the balance exceeds this range, the Board should consider transferring any excess into the Investment Account.  If there is a deficit, </w:t>
      </w:r>
      <w:r w:rsidR="003811CE">
        <w:rPr>
          <w:rFonts w:cs="Times New Roman"/>
        </w:rPr>
        <w:t xml:space="preserve">the </w:t>
      </w:r>
      <w:r>
        <w:rPr>
          <w:rFonts w:cs="Times New Roman"/>
        </w:rPr>
        <w:t xml:space="preserve">Board </w:t>
      </w:r>
      <w:r>
        <w:rPr>
          <w:rFonts w:cs="Times New Roman"/>
        </w:rPr>
        <w:lastRenderedPageBreak/>
        <w:t>should consider transferring from Investments to bring balance within range.  These decisions must be discussed and voted upon by the BOMA Board before any action is taken.</w:t>
      </w:r>
    </w:p>
    <w:p w:rsidR="0002434B" w:rsidRPr="003B7B70" w:rsidRDefault="0002434B" w:rsidP="0002434B">
      <w:pPr>
        <w:pStyle w:val="ListParagraph"/>
        <w:numPr>
          <w:ilvl w:val="0"/>
          <w:numId w:val="2"/>
        </w:numPr>
      </w:pPr>
      <w:r w:rsidRPr="003B7B70">
        <w:t xml:space="preserve">The </w:t>
      </w:r>
      <w:r w:rsidR="00961C09">
        <w:t>BOMA Treasurer will communicate all</w:t>
      </w:r>
      <w:r w:rsidRPr="003B7B70">
        <w:t xml:space="preserve"> </w:t>
      </w:r>
      <w:r w:rsidR="00C7429B">
        <w:t xml:space="preserve">BOMA Iowa </w:t>
      </w:r>
      <w:r w:rsidRPr="003B7B70">
        <w:t>investment actions</w:t>
      </w:r>
      <w:r w:rsidR="00AB181E">
        <w:t>,</w:t>
      </w:r>
      <w:r w:rsidRPr="003B7B70">
        <w:t xml:space="preserve"> </w:t>
      </w:r>
      <w:r w:rsidR="00961C09">
        <w:t>approved by the</w:t>
      </w:r>
      <w:r w:rsidRPr="003B7B70">
        <w:t xml:space="preserve"> Board</w:t>
      </w:r>
      <w:r w:rsidR="00AB181E">
        <w:t>,</w:t>
      </w:r>
      <w:r w:rsidR="00961C09">
        <w:t xml:space="preserve"> to the F</w:t>
      </w:r>
      <w:r w:rsidR="00961C09" w:rsidRPr="003B7B70">
        <w:t xml:space="preserve">inancial </w:t>
      </w:r>
      <w:r w:rsidR="00961C09">
        <w:t>Advisor</w:t>
      </w:r>
      <w:r w:rsidRPr="003B7B70">
        <w:t>.</w:t>
      </w:r>
    </w:p>
    <w:p w:rsidR="0002434B" w:rsidRPr="003B7B70" w:rsidRDefault="0002434B" w:rsidP="0002434B">
      <w:pPr>
        <w:pStyle w:val="ListParagraph"/>
        <w:numPr>
          <w:ilvl w:val="0"/>
          <w:numId w:val="2"/>
        </w:numPr>
      </w:pPr>
      <w:r w:rsidRPr="003B7B70">
        <w:t xml:space="preserve">The </w:t>
      </w:r>
      <w:r w:rsidR="00961C09">
        <w:t>F</w:t>
      </w:r>
      <w:r w:rsidR="00961C09" w:rsidRPr="003B7B70">
        <w:t xml:space="preserve">inancial </w:t>
      </w:r>
      <w:r w:rsidR="00961C09">
        <w:t>Advisor</w:t>
      </w:r>
      <w:r w:rsidR="00961C09" w:rsidRPr="003B7B70">
        <w:t xml:space="preserve"> </w:t>
      </w:r>
      <w:r w:rsidRPr="003B7B70">
        <w:t xml:space="preserve">will maintain an investment register to include name of the issuer and the issue, its maturity amount, cost, interest rate, purchase date, maturity date, and interest payment frequency. Premiums or discounts if any will be detailed. Appropriate documentation of investments will be maintained as part </w:t>
      </w:r>
      <w:r w:rsidR="00C7429B">
        <w:t>of BOMA Iowa</w:t>
      </w:r>
      <w:r w:rsidRPr="003B7B70">
        <w:t xml:space="preserve"> accounting records.</w:t>
      </w:r>
    </w:p>
    <w:p w:rsidR="00BF0D67" w:rsidRDefault="0002434B" w:rsidP="00E25188">
      <w:pPr>
        <w:pStyle w:val="ListParagraph"/>
        <w:numPr>
          <w:ilvl w:val="0"/>
          <w:numId w:val="2"/>
        </w:numPr>
      </w:pPr>
      <w:r w:rsidRPr="003B7B70">
        <w:t xml:space="preserve">The </w:t>
      </w:r>
      <w:r w:rsidR="00961C09">
        <w:t>F</w:t>
      </w:r>
      <w:r w:rsidRPr="003B7B70">
        <w:t xml:space="preserve">inancial </w:t>
      </w:r>
      <w:r w:rsidR="00FF1A81">
        <w:t>Advisor</w:t>
      </w:r>
      <w:r w:rsidRPr="003B7B70">
        <w:t xml:space="preserve"> will report </w:t>
      </w:r>
      <w:r w:rsidR="00961C09">
        <w:t xml:space="preserve">a minimum of once per year, but preferably </w:t>
      </w:r>
      <w:r w:rsidR="00C7429B">
        <w:t>bi-</w:t>
      </w:r>
      <w:r w:rsidRPr="003B7B70">
        <w:t xml:space="preserve">annually, to </w:t>
      </w:r>
      <w:r w:rsidR="00C7429B">
        <w:t>BOMA Iowa</w:t>
      </w:r>
      <w:r w:rsidRPr="003B7B70">
        <w:t xml:space="preserve"> regarding investment actions and the status of the investment portfolio.</w:t>
      </w:r>
    </w:p>
    <w:p w:rsidR="00E25188" w:rsidRPr="003B7B70" w:rsidRDefault="00E25188" w:rsidP="00BF0D67">
      <w:pPr>
        <w:jc w:val="center"/>
        <w:rPr>
          <w:b/>
          <w:sz w:val="28"/>
          <w:szCs w:val="28"/>
          <w:u w:val="single"/>
        </w:rPr>
      </w:pPr>
      <w:r w:rsidRPr="003B7B70">
        <w:rPr>
          <w:b/>
          <w:sz w:val="28"/>
          <w:szCs w:val="28"/>
          <w:u w:val="single"/>
        </w:rPr>
        <w:t>Investment Mix</w:t>
      </w:r>
    </w:p>
    <w:p w:rsidR="00D17E93" w:rsidRPr="003B7B70" w:rsidRDefault="00D17E93" w:rsidP="00D17E93">
      <w:pPr>
        <w:rPr>
          <w:rFonts w:cs="Times New Roman"/>
          <w:sz w:val="24"/>
          <w:szCs w:val="24"/>
        </w:rPr>
      </w:pPr>
      <w:r w:rsidRPr="003B7B70">
        <w:rPr>
          <w:rFonts w:cs="Times New Roman"/>
        </w:rPr>
        <w:t xml:space="preserve">The Board of </w:t>
      </w:r>
      <w:r w:rsidR="00AB6E20">
        <w:rPr>
          <w:rFonts w:cs="Times New Roman"/>
        </w:rPr>
        <w:t>Directors</w:t>
      </w:r>
      <w:r w:rsidRPr="003B7B70">
        <w:rPr>
          <w:rFonts w:cs="Times New Roman"/>
        </w:rPr>
        <w:t xml:space="preserve"> has set the following targets and ranges for this investment portfolio</w:t>
      </w:r>
    </w:p>
    <w:tbl>
      <w:tblPr>
        <w:tblStyle w:val="MediumGrid3-Accent1"/>
        <w:tblW w:w="0" w:type="auto"/>
        <w:jc w:val="center"/>
        <w:tblLook w:val="04A0" w:firstRow="1" w:lastRow="0" w:firstColumn="1" w:lastColumn="0" w:noHBand="0" w:noVBand="1"/>
      </w:tblPr>
      <w:tblGrid>
        <w:gridCol w:w="4320"/>
        <w:gridCol w:w="1440"/>
        <w:gridCol w:w="1440"/>
        <w:gridCol w:w="1440"/>
      </w:tblGrid>
      <w:tr w:rsidR="00D17E93" w:rsidRPr="003B7B70" w:rsidTr="001750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p>
        </w:tc>
        <w:tc>
          <w:tcPr>
            <w:tcW w:w="1440" w:type="dxa"/>
          </w:tcPr>
          <w:p w:rsidR="00D17E93" w:rsidRPr="003B7B70" w:rsidRDefault="00D17E93" w:rsidP="00175034">
            <w:pPr>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3B7B70">
              <w:rPr>
                <w:rFonts w:cs="Times New Roman"/>
                <w:sz w:val="24"/>
                <w:szCs w:val="24"/>
              </w:rPr>
              <w:t>Minimum</w:t>
            </w:r>
          </w:p>
        </w:tc>
        <w:tc>
          <w:tcPr>
            <w:tcW w:w="1440" w:type="dxa"/>
          </w:tcPr>
          <w:p w:rsidR="00D17E93" w:rsidRPr="003B7B70" w:rsidRDefault="00D17E93" w:rsidP="00175034">
            <w:pPr>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3B7B70">
              <w:rPr>
                <w:rFonts w:cs="Times New Roman"/>
                <w:sz w:val="24"/>
                <w:szCs w:val="24"/>
              </w:rPr>
              <w:t>Target</w:t>
            </w:r>
          </w:p>
        </w:tc>
        <w:tc>
          <w:tcPr>
            <w:tcW w:w="1440" w:type="dxa"/>
          </w:tcPr>
          <w:p w:rsidR="00D17E93" w:rsidRPr="003B7B70" w:rsidRDefault="00D17E93" w:rsidP="00175034">
            <w:pPr>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3B7B70">
              <w:rPr>
                <w:rFonts w:cs="Times New Roman"/>
                <w:sz w:val="24"/>
                <w:szCs w:val="24"/>
              </w:rPr>
              <w:t>Maximum</w:t>
            </w: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r w:rsidRPr="003B7B70">
              <w:rPr>
                <w:rFonts w:cs="Times New Roman"/>
                <w:sz w:val="24"/>
                <w:szCs w:val="24"/>
              </w:rPr>
              <w:t>Total Fixed Income</w:t>
            </w:r>
          </w:p>
        </w:tc>
        <w:tc>
          <w:tcPr>
            <w:tcW w:w="1440" w:type="dxa"/>
          </w:tcPr>
          <w:p w:rsidR="00D17E93" w:rsidRPr="003B7B70" w:rsidRDefault="00AB181E"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Pr>
                <w:rFonts w:cs="Times New Roman"/>
                <w:b/>
                <w:sz w:val="24"/>
                <w:szCs w:val="24"/>
                <w:highlight w:val="yellow"/>
              </w:rPr>
              <w:t>50</w:t>
            </w:r>
            <w:r w:rsidR="00D17E93" w:rsidRPr="003B7B70">
              <w:rPr>
                <w:rFonts w:cs="Times New Roman"/>
                <w:b/>
                <w:sz w:val="24"/>
                <w:szCs w:val="24"/>
                <w:highlight w:val="yellow"/>
              </w:rPr>
              <w:t>.0%</w:t>
            </w:r>
          </w:p>
        </w:tc>
        <w:tc>
          <w:tcPr>
            <w:tcW w:w="1440" w:type="dxa"/>
          </w:tcPr>
          <w:p w:rsidR="00D17E93" w:rsidRPr="003B7B70" w:rsidRDefault="00AB181E"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Pr>
                <w:rFonts w:cs="Times New Roman"/>
                <w:b/>
                <w:sz w:val="24"/>
                <w:szCs w:val="24"/>
                <w:highlight w:val="yellow"/>
              </w:rPr>
              <w:t>6</w:t>
            </w:r>
            <w:r w:rsidR="00D17E93" w:rsidRPr="003B7B70">
              <w:rPr>
                <w:rFonts w:cs="Times New Roman"/>
                <w:b/>
                <w:sz w:val="24"/>
                <w:szCs w:val="24"/>
                <w:highlight w:val="yellow"/>
              </w:rPr>
              <w:t>0.0%</w:t>
            </w:r>
          </w:p>
        </w:tc>
        <w:tc>
          <w:tcPr>
            <w:tcW w:w="1440" w:type="dxa"/>
          </w:tcPr>
          <w:p w:rsidR="00D17E93" w:rsidRPr="003B7B70" w:rsidRDefault="00AB181E" w:rsidP="00AB181E">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Pr>
                <w:rFonts w:cs="Times New Roman"/>
                <w:b/>
                <w:sz w:val="24"/>
                <w:szCs w:val="24"/>
                <w:highlight w:val="yellow"/>
              </w:rPr>
              <w:t>70</w:t>
            </w:r>
            <w:r w:rsidR="00D17E93" w:rsidRPr="003B7B70">
              <w:rPr>
                <w:rFonts w:cs="Times New Roman"/>
                <w:b/>
                <w:sz w:val="24"/>
                <w:szCs w:val="24"/>
                <w:highlight w:val="yellow"/>
              </w:rPr>
              <w:t>.0%</w:t>
            </w:r>
          </w:p>
        </w:tc>
      </w:tr>
      <w:tr w:rsidR="00D17E93" w:rsidRPr="003B7B70" w:rsidTr="00175034">
        <w:trPr>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r w:rsidRPr="003B7B70">
              <w:rPr>
                <w:rFonts w:cs="Times New Roman"/>
                <w:sz w:val="24"/>
                <w:szCs w:val="24"/>
              </w:rPr>
              <w:t>Total Equity</w:t>
            </w:r>
          </w:p>
        </w:tc>
        <w:tc>
          <w:tcPr>
            <w:tcW w:w="1440" w:type="dxa"/>
          </w:tcPr>
          <w:p w:rsidR="00D17E93" w:rsidRPr="003B7B70" w:rsidRDefault="00AB181E" w:rsidP="00AB181E">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Pr>
                <w:rFonts w:cs="Times New Roman"/>
                <w:b/>
                <w:sz w:val="24"/>
                <w:szCs w:val="24"/>
                <w:highlight w:val="yellow"/>
              </w:rPr>
              <w:t>30</w:t>
            </w:r>
            <w:r w:rsidR="00D17E93" w:rsidRPr="003B7B70">
              <w:rPr>
                <w:rFonts w:cs="Times New Roman"/>
                <w:b/>
                <w:sz w:val="24"/>
                <w:szCs w:val="24"/>
                <w:highlight w:val="yellow"/>
              </w:rPr>
              <w:t>.0%</w:t>
            </w:r>
          </w:p>
        </w:tc>
        <w:tc>
          <w:tcPr>
            <w:tcW w:w="1440" w:type="dxa"/>
          </w:tcPr>
          <w:p w:rsidR="00D17E93" w:rsidRPr="003B7B70" w:rsidRDefault="00AB181E"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Pr>
                <w:rFonts w:cs="Times New Roman"/>
                <w:b/>
                <w:sz w:val="24"/>
                <w:szCs w:val="24"/>
                <w:highlight w:val="yellow"/>
              </w:rPr>
              <w:t>35</w:t>
            </w:r>
            <w:r w:rsidR="00D17E93" w:rsidRPr="003B7B70">
              <w:rPr>
                <w:rFonts w:cs="Times New Roman"/>
                <w:b/>
                <w:sz w:val="24"/>
                <w:szCs w:val="24"/>
                <w:highlight w:val="yellow"/>
              </w:rPr>
              <w:t>.0%</w:t>
            </w:r>
          </w:p>
        </w:tc>
        <w:tc>
          <w:tcPr>
            <w:tcW w:w="1440" w:type="dxa"/>
          </w:tcPr>
          <w:p w:rsidR="00D17E93" w:rsidRPr="003B7B70" w:rsidRDefault="00AB181E"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Pr>
                <w:rFonts w:cs="Times New Roman"/>
                <w:b/>
                <w:sz w:val="24"/>
                <w:szCs w:val="24"/>
                <w:highlight w:val="yellow"/>
              </w:rPr>
              <w:t>40</w:t>
            </w:r>
            <w:r w:rsidR="00D17E93" w:rsidRPr="003B7B70">
              <w:rPr>
                <w:rFonts w:cs="Times New Roman"/>
                <w:b/>
                <w:sz w:val="24"/>
                <w:szCs w:val="24"/>
                <w:highlight w:val="yellow"/>
              </w:rPr>
              <w:t>.0%</w:t>
            </w:r>
          </w:p>
        </w:tc>
      </w:tr>
      <w:tr w:rsidR="00D17E93" w:rsidRPr="003B7B70" w:rsidTr="00175034">
        <w:trPr>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r w:rsidRPr="003B7B70">
              <w:rPr>
                <w:rFonts w:cs="Times New Roman"/>
                <w:sz w:val="24"/>
                <w:szCs w:val="24"/>
              </w:rPr>
              <w:t>Total Real Assets</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0.0%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5.0%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10.0%</w:t>
            </w:r>
          </w:p>
        </w:tc>
      </w:tr>
    </w:tbl>
    <w:p w:rsidR="00BF0D67" w:rsidRDefault="00BF0D67" w:rsidP="0002434B"/>
    <w:p w:rsidR="003811CE" w:rsidRPr="003B7B70" w:rsidRDefault="003811CE" w:rsidP="0002434B"/>
    <w:p w:rsidR="00BF0D67" w:rsidRPr="003B7B70" w:rsidRDefault="00BF0D67" w:rsidP="00BF0D67">
      <w:pPr>
        <w:jc w:val="center"/>
        <w:rPr>
          <w:b/>
          <w:sz w:val="28"/>
          <w:szCs w:val="28"/>
          <w:u w:val="single"/>
        </w:rPr>
      </w:pPr>
      <w:r w:rsidRPr="003B7B70">
        <w:rPr>
          <w:b/>
          <w:sz w:val="28"/>
          <w:szCs w:val="28"/>
          <w:u w:val="single"/>
        </w:rPr>
        <w:t>Authorized Investment Descriptions</w:t>
      </w:r>
    </w:p>
    <w:p w:rsidR="00BF0D67" w:rsidRPr="003B7B70" w:rsidRDefault="00BF0D67" w:rsidP="00BF0D67">
      <w:pPr>
        <w:pStyle w:val="ListParagraph"/>
        <w:numPr>
          <w:ilvl w:val="0"/>
          <w:numId w:val="3"/>
        </w:numPr>
      </w:pPr>
      <w:r w:rsidRPr="003B7B70">
        <w:t>Short Term Net Asset value Money Market Funds</w:t>
      </w:r>
    </w:p>
    <w:p w:rsidR="00BF0D67" w:rsidRPr="003B7B70" w:rsidRDefault="00BF0D67" w:rsidP="00BF0D67">
      <w:pPr>
        <w:pStyle w:val="ListParagraph"/>
        <w:numPr>
          <w:ilvl w:val="0"/>
          <w:numId w:val="3"/>
        </w:numPr>
      </w:pPr>
      <w:r w:rsidRPr="003B7B70">
        <w:t>Certificates of deposit of Federally Insured Financial Institutions.</w:t>
      </w:r>
    </w:p>
    <w:p w:rsidR="00BF0D67" w:rsidRPr="003B7B70" w:rsidRDefault="00BF0D67" w:rsidP="00BF0D67">
      <w:pPr>
        <w:pStyle w:val="ListParagraph"/>
        <w:numPr>
          <w:ilvl w:val="0"/>
          <w:numId w:val="3"/>
        </w:numPr>
      </w:pPr>
      <w:r w:rsidRPr="003B7B70">
        <w:t>United States Treasury Bills, Notes or Bonds.</w:t>
      </w:r>
    </w:p>
    <w:p w:rsidR="00BF0D67" w:rsidRPr="003B7B70" w:rsidRDefault="00BF0D67" w:rsidP="00BF0D67">
      <w:pPr>
        <w:pStyle w:val="ListParagraph"/>
        <w:numPr>
          <w:ilvl w:val="0"/>
          <w:numId w:val="3"/>
        </w:numPr>
      </w:pPr>
      <w:r w:rsidRPr="003B7B70">
        <w:t xml:space="preserve">Federal government agency notes, bonds and debentures. </w:t>
      </w:r>
    </w:p>
    <w:p w:rsidR="00D17E93" w:rsidRPr="003B7B70" w:rsidRDefault="00D17E93" w:rsidP="00BF0D67">
      <w:pPr>
        <w:pStyle w:val="ListParagraph"/>
        <w:numPr>
          <w:ilvl w:val="0"/>
          <w:numId w:val="3"/>
        </w:numPr>
      </w:pPr>
      <w:r w:rsidRPr="003B7B70">
        <w:t>Corporate bonds / Commercial Paper that is rated “A” or higher</w:t>
      </w:r>
    </w:p>
    <w:p w:rsidR="00D17E93" w:rsidRPr="003B7B70" w:rsidRDefault="00D17E93" w:rsidP="00BF0D67">
      <w:pPr>
        <w:pStyle w:val="ListParagraph"/>
        <w:numPr>
          <w:ilvl w:val="0"/>
          <w:numId w:val="3"/>
        </w:numPr>
      </w:pPr>
      <w:r w:rsidRPr="003B7B70">
        <w:t>Fixed Income Mutual Funds</w:t>
      </w:r>
    </w:p>
    <w:p w:rsidR="00D17E93" w:rsidRDefault="00D17E93" w:rsidP="00BF0D67">
      <w:pPr>
        <w:pStyle w:val="ListParagraph"/>
        <w:numPr>
          <w:ilvl w:val="0"/>
          <w:numId w:val="3"/>
        </w:numPr>
      </w:pPr>
      <w:r w:rsidRPr="003B7B70">
        <w:t>Equity Mutual Funds</w:t>
      </w:r>
    </w:p>
    <w:p w:rsidR="00BF70C3" w:rsidRDefault="00BF70C3" w:rsidP="00BF70C3">
      <w:pPr>
        <w:pStyle w:val="ListParagraph"/>
      </w:pPr>
    </w:p>
    <w:p w:rsidR="00BF70C3" w:rsidRDefault="00BF70C3" w:rsidP="00BF70C3">
      <w:pPr>
        <w:pStyle w:val="ListParagraph"/>
      </w:pPr>
    </w:p>
    <w:p w:rsidR="00BF70C3" w:rsidRDefault="00BF70C3" w:rsidP="00BF70C3">
      <w:pPr>
        <w:pStyle w:val="ListParagraph"/>
      </w:pPr>
    </w:p>
    <w:p w:rsidR="003811CE" w:rsidRDefault="003811CE" w:rsidP="00BF70C3">
      <w:pPr>
        <w:pStyle w:val="ListParagraph"/>
      </w:pPr>
    </w:p>
    <w:p w:rsidR="003811CE" w:rsidRDefault="003811CE" w:rsidP="00BF70C3">
      <w:pPr>
        <w:pStyle w:val="ListParagraph"/>
      </w:pPr>
    </w:p>
    <w:p w:rsidR="003811CE" w:rsidRDefault="003811CE" w:rsidP="00BF70C3">
      <w:pPr>
        <w:pStyle w:val="ListParagraph"/>
      </w:pPr>
    </w:p>
    <w:p w:rsidR="003811CE" w:rsidRDefault="003811CE" w:rsidP="00BF70C3">
      <w:pPr>
        <w:pStyle w:val="ListParagraph"/>
      </w:pPr>
    </w:p>
    <w:p w:rsidR="003811CE" w:rsidRDefault="003811CE" w:rsidP="00BF70C3">
      <w:pPr>
        <w:pStyle w:val="ListParagraph"/>
      </w:pPr>
    </w:p>
    <w:p w:rsidR="0002434B" w:rsidRPr="003B7B70" w:rsidRDefault="0002434B" w:rsidP="0002434B">
      <w:pPr>
        <w:jc w:val="center"/>
        <w:rPr>
          <w:rFonts w:cs="Times New Roman"/>
          <w:b/>
          <w:sz w:val="28"/>
          <w:szCs w:val="28"/>
          <w:u w:val="single"/>
        </w:rPr>
      </w:pPr>
      <w:r w:rsidRPr="003B7B70">
        <w:rPr>
          <w:rFonts w:cs="Times New Roman"/>
          <w:b/>
          <w:sz w:val="28"/>
          <w:szCs w:val="28"/>
          <w:u w:val="single"/>
        </w:rPr>
        <w:lastRenderedPageBreak/>
        <w:t>Holdings Not Permissible</w:t>
      </w:r>
    </w:p>
    <w:p w:rsidR="0002434B" w:rsidRPr="003B7B70" w:rsidRDefault="0002434B" w:rsidP="0002434B">
      <w:pPr>
        <w:rPr>
          <w:rFonts w:cs="Times New Roman"/>
        </w:rPr>
      </w:pPr>
      <w:r w:rsidRPr="003B7B70">
        <w:rPr>
          <w:rFonts w:cs="Times New Roman"/>
        </w:rPr>
        <w:t>The following types of securities and transactions are prohibited.  These prohibitions do not apply to managers hired as part of the allocation to real assets and complementary strategies or where otherwise stated.</w:t>
      </w:r>
    </w:p>
    <w:p w:rsidR="0002434B" w:rsidRPr="003B7B70" w:rsidRDefault="0002434B" w:rsidP="0002434B">
      <w:pPr>
        <w:pStyle w:val="ListParagraph"/>
        <w:numPr>
          <w:ilvl w:val="0"/>
          <w:numId w:val="5"/>
        </w:numPr>
        <w:rPr>
          <w:rFonts w:cs="Times New Roman"/>
        </w:rPr>
      </w:pPr>
      <w:r w:rsidRPr="003B7B70">
        <w:rPr>
          <w:rFonts w:cs="Times New Roman"/>
        </w:rPr>
        <w:t>Short sales</w:t>
      </w:r>
    </w:p>
    <w:p w:rsidR="0002434B" w:rsidRPr="003B7B70" w:rsidRDefault="0002434B" w:rsidP="0002434B">
      <w:pPr>
        <w:pStyle w:val="ListParagraph"/>
        <w:numPr>
          <w:ilvl w:val="0"/>
          <w:numId w:val="5"/>
        </w:numPr>
        <w:rPr>
          <w:rFonts w:cs="Times New Roman"/>
        </w:rPr>
      </w:pPr>
      <w:r w:rsidRPr="003B7B70">
        <w:rPr>
          <w:rFonts w:cs="Times New Roman"/>
        </w:rPr>
        <w:t>Options, futures or forward contracts used for purposes other than defensive and hedge strategies undertaken to protect principal.</w:t>
      </w:r>
    </w:p>
    <w:p w:rsidR="0002434B" w:rsidRPr="003B7B70" w:rsidRDefault="0002434B" w:rsidP="0002434B">
      <w:pPr>
        <w:pStyle w:val="ListParagraph"/>
        <w:numPr>
          <w:ilvl w:val="0"/>
          <w:numId w:val="5"/>
        </w:numPr>
        <w:rPr>
          <w:rFonts w:cs="Times New Roman"/>
        </w:rPr>
      </w:pPr>
      <w:r w:rsidRPr="003B7B70">
        <w:rPr>
          <w:rFonts w:cs="Times New Roman"/>
        </w:rPr>
        <w:t>Margin purchases or otherwise leveraged investments</w:t>
      </w:r>
    </w:p>
    <w:p w:rsidR="0002434B" w:rsidRPr="003B7B70" w:rsidRDefault="0002434B" w:rsidP="0002434B">
      <w:pPr>
        <w:pStyle w:val="ListParagraph"/>
        <w:numPr>
          <w:ilvl w:val="0"/>
          <w:numId w:val="5"/>
        </w:numPr>
        <w:rPr>
          <w:rFonts w:cs="Times New Roman"/>
        </w:rPr>
      </w:pPr>
      <w:r w:rsidRPr="003B7B70">
        <w:rPr>
          <w:rFonts w:cs="Times New Roman"/>
        </w:rPr>
        <w:t>Unregistered stock, letter stock, private or direct placements</w:t>
      </w:r>
    </w:p>
    <w:p w:rsidR="0002434B" w:rsidRPr="003B7B70" w:rsidRDefault="0002434B" w:rsidP="0002434B">
      <w:pPr>
        <w:pStyle w:val="ListParagraph"/>
        <w:numPr>
          <w:ilvl w:val="0"/>
          <w:numId w:val="5"/>
        </w:numPr>
        <w:rPr>
          <w:rFonts w:cs="Times New Roman"/>
        </w:rPr>
      </w:pPr>
      <w:r w:rsidRPr="003B7B70">
        <w:rPr>
          <w:rFonts w:cs="Times New Roman"/>
        </w:rPr>
        <w:t>Direct ownership of commodities contracts or commodities futures</w:t>
      </w:r>
    </w:p>
    <w:p w:rsidR="0002434B" w:rsidRPr="003B7B70" w:rsidRDefault="0002434B" w:rsidP="0002434B">
      <w:pPr>
        <w:pStyle w:val="ListParagraph"/>
        <w:numPr>
          <w:ilvl w:val="0"/>
          <w:numId w:val="5"/>
        </w:numPr>
        <w:rPr>
          <w:rFonts w:cs="Times New Roman"/>
        </w:rPr>
      </w:pPr>
      <w:r w:rsidRPr="003B7B70">
        <w:rPr>
          <w:rFonts w:cs="Times New Roman"/>
        </w:rPr>
        <w:t>Securities of the Investment Consultant, the Custodian bank, their parents or subsidiaries (excluding short-term and money market securities).</w:t>
      </w:r>
    </w:p>
    <w:p w:rsidR="00BF0D67" w:rsidRPr="003B7B70" w:rsidRDefault="00BF0D67" w:rsidP="00BF0D67"/>
    <w:p w:rsidR="00BF0D67" w:rsidRDefault="00BF0D67" w:rsidP="00BF0D67">
      <w:pPr>
        <w:jc w:val="center"/>
        <w:rPr>
          <w:b/>
          <w:sz w:val="28"/>
          <w:szCs w:val="28"/>
          <w:u w:val="single"/>
        </w:rPr>
      </w:pPr>
      <w:r w:rsidRPr="003B7B70">
        <w:rPr>
          <w:b/>
          <w:sz w:val="28"/>
          <w:szCs w:val="28"/>
          <w:u w:val="single"/>
        </w:rPr>
        <w:t>Authorizing Policy</w:t>
      </w:r>
    </w:p>
    <w:p w:rsidR="003811CE" w:rsidRPr="003B7B70" w:rsidRDefault="003811CE" w:rsidP="00BF0D67">
      <w:pPr>
        <w:jc w:val="center"/>
        <w:rPr>
          <w:b/>
          <w:sz w:val="28"/>
          <w:szCs w:val="28"/>
          <w:u w:val="single"/>
        </w:rPr>
      </w:pPr>
    </w:p>
    <w:p w:rsidR="00BF0D67" w:rsidRPr="003B7B70" w:rsidRDefault="00BF0D67" w:rsidP="00BF0D67"/>
    <w:p w:rsidR="00BF0D67" w:rsidRPr="003B7B70" w:rsidRDefault="00BB671D" w:rsidP="00BF0D67">
      <w:r>
        <w:pict>
          <v:rect id="_x0000_i1026" style="width:0;height:1.5pt" o:hralign="center" o:hrstd="t" o:hr="t" fillcolor="gray" stroked="f"/>
        </w:pict>
      </w:r>
      <w:r w:rsidR="00BF0D67" w:rsidRPr="003B7B70">
        <w:t xml:space="preserve">Name </w:t>
      </w:r>
      <w:r w:rsidR="00BF0D67" w:rsidRPr="003B7B70">
        <w:tab/>
      </w:r>
      <w:r w:rsidR="00BF0D67" w:rsidRPr="003B7B70">
        <w:tab/>
      </w:r>
      <w:r w:rsidR="00BF0D67" w:rsidRPr="003B7B70">
        <w:tab/>
      </w:r>
      <w:r w:rsidR="00BF0D67" w:rsidRPr="003B7B70">
        <w:tab/>
      </w:r>
      <w:r w:rsidR="00BF0D67" w:rsidRPr="003B7B70">
        <w:tab/>
      </w:r>
      <w:r w:rsidR="00BF0D67" w:rsidRPr="003B7B70">
        <w:tab/>
      </w:r>
      <w:r w:rsidR="00BF0D67" w:rsidRPr="003B7B70">
        <w:tab/>
      </w:r>
      <w:r w:rsidR="00B36C40">
        <w:t>President</w:t>
      </w:r>
    </w:p>
    <w:p w:rsidR="00BF0D67" w:rsidRPr="003B7B70" w:rsidRDefault="00BF0D67" w:rsidP="00BF0D67"/>
    <w:p w:rsidR="00BF0D67" w:rsidRPr="003B7B70" w:rsidRDefault="00BB671D" w:rsidP="00BF0D67">
      <w:r>
        <w:pict>
          <v:rect id="_x0000_i1027" style="width:0;height:1.5pt" o:hralign="center" o:hrstd="t" o:hr="t" fillcolor="gray" stroked="f"/>
        </w:pict>
      </w:r>
      <w:r w:rsidR="00BF0D67" w:rsidRPr="003B7B70">
        <w:t xml:space="preserve">Name </w:t>
      </w:r>
      <w:r w:rsidR="00BF0D67" w:rsidRPr="003B7B70">
        <w:tab/>
      </w:r>
      <w:r w:rsidR="00BF0D67" w:rsidRPr="003B7B70">
        <w:tab/>
      </w:r>
      <w:r w:rsidR="00BF0D67" w:rsidRPr="003B7B70">
        <w:tab/>
      </w:r>
      <w:r w:rsidR="00BF0D67" w:rsidRPr="003B7B70">
        <w:tab/>
      </w:r>
      <w:r w:rsidR="00BF0D67" w:rsidRPr="003B7B70">
        <w:tab/>
      </w:r>
      <w:r w:rsidR="00BF0D67" w:rsidRPr="003B7B70">
        <w:tab/>
      </w:r>
      <w:r w:rsidR="00BF0D67" w:rsidRPr="003B7B70">
        <w:tab/>
      </w:r>
      <w:r w:rsidR="00B36C40">
        <w:t>Treasurer</w:t>
      </w:r>
    </w:p>
    <w:p w:rsidR="00BF0D67" w:rsidRPr="003B7B70" w:rsidRDefault="00BF0D67" w:rsidP="00BF0D67"/>
    <w:p w:rsidR="00BF0D67" w:rsidRPr="003B7B70" w:rsidRDefault="00BB671D" w:rsidP="00BF0D67">
      <w:r>
        <w:pict>
          <v:rect id="_x0000_i1028" style="width:0;height:1.5pt" o:hralign="center" o:hrstd="t" o:hr="t" fillcolor="gray" stroked="f"/>
        </w:pict>
      </w:r>
      <w:r w:rsidR="00BF0D67" w:rsidRPr="003B7B70">
        <w:t xml:space="preserve">Name </w:t>
      </w:r>
      <w:r w:rsidR="00BF0D67" w:rsidRPr="003B7B70">
        <w:tab/>
      </w:r>
      <w:r w:rsidR="00BF0D67" w:rsidRPr="003B7B70">
        <w:tab/>
      </w:r>
      <w:r w:rsidR="00BF0D67" w:rsidRPr="003B7B70">
        <w:tab/>
      </w:r>
      <w:r w:rsidR="00BF0D67" w:rsidRPr="003B7B70">
        <w:tab/>
      </w:r>
      <w:r w:rsidR="00BF0D67" w:rsidRPr="003B7B70">
        <w:tab/>
      </w:r>
      <w:r w:rsidR="00BF0D67" w:rsidRPr="003B7B70">
        <w:tab/>
      </w:r>
      <w:r w:rsidR="00BF0D67" w:rsidRPr="003B7B70">
        <w:tab/>
        <w:t>Title</w:t>
      </w:r>
    </w:p>
    <w:p w:rsidR="00BF0D67" w:rsidRDefault="00BF0D67" w:rsidP="00BF0D67"/>
    <w:sectPr w:rsidR="00BF0D67" w:rsidSect="00D03E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71D" w:rsidRDefault="00BB671D" w:rsidP="00BF0D67">
      <w:pPr>
        <w:spacing w:after="0" w:line="240" w:lineRule="auto"/>
      </w:pPr>
      <w:r>
        <w:separator/>
      </w:r>
    </w:p>
  </w:endnote>
  <w:endnote w:type="continuationSeparator" w:id="0">
    <w:p w:rsidR="00BB671D" w:rsidRDefault="00BB671D" w:rsidP="00BF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67" w:rsidRDefault="00BF0D67">
    <w:pPr>
      <w:pStyle w:val="Footer"/>
      <w:pBdr>
        <w:top w:val="thinThickSmallGap" w:sz="24" w:space="1" w:color="622423" w:themeColor="accent2" w:themeShade="7F"/>
      </w:pBdr>
      <w:rPr>
        <w:rFonts w:asciiTheme="majorHAnsi" w:hAnsiTheme="majorHAnsi"/>
      </w:rPr>
    </w:pPr>
    <w:r>
      <w:rPr>
        <w:rFonts w:asciiTheme="majorHAnsi" w:hAnsiTheme="majorHAnsi"/>
      </w:rPr>
      <w:t xml:space="preserve">Investment Policy </w:t>
    </w:r>
    <w:r>
      <w:rPr>
        <w:rFonts w:asciiTheme="majorHAnsi" w:hAnsiTheme="majorHAnsi"/>
      </w:rPr>
      <w:ptab w:relativeTo="margin" w:alignment="right" w:leader="none"/>
    </w:r>
    <w:r>
      <w:rPr>
        <w:rFonts w:asciiTheme="majorHAnsi" w:hAnsiTheme="majorHAnsi"/>
      </w:rPr>
      <w:t xml:space="preserve">Page </w:t>
    </w:r>
    <w:r w:rsidR="00CA3246">
      <w:fldChar w:fldCharType="begin"/>
    </w:r>
    <w:r w:rsidR="00CA3246">
      <w:instrText xml:space="preserve"> PAGE   \* MERGEFORMAT </w:instrText>
    </w:r>
    <w:r w:rsidR="00CA3246">
      <w:fldChar w:fldCharType="separate"/>
    </w:r>
    <w:r w:rsidR="00D5377B" w:rsidRPr="00D5377B">
      <w:rPr>
        <w:rFonts w:asciiTheme="majorHAnsi" w:hAnsiTheme="majorHAnsi"/>
        <w:noProof/>
      </w:rPr>
      <w:t>1</w:t>
    </w:r>
    <w:r w:rsidR="00CA3246">
      <w:rPr>
        <w:rFonts w:asciiTheme="majorHAnsi" w:hAnsiTheme="majorHAnsi"/>
        <w:noProof/>
      </w:rPr>
      <w:fldChar w:fldCharType="end"/>
    </w:r>
  </w:p>
  <w:p w:rsidR="00BF0D67" w:rsidRDefault="00BF0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71D" w:rsidRDefault="00BB671D" w:rsidP="00BF0D67">
      <w:pPr>
        <w:spacing w:after="0" w:line="240" w:lineRule="auto"/>
      </w:pPr>
      <w:r>
        <w:separator/>
      </w:r>
    </w:p>
  </w:footnote>
  <w:footnote w:type="continuationSeparator" w:id="0">
    <w:p w:rsidR="00BB671D" w:rsidRDefault="00BB671D" w:rsidP="00BF0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46CF9"/>
    <w:multiLevelType w:val="hybridMultilevel"/>
    <w:tmpl w:val="96A47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5040A7"/>
    <w:multiLevelType w:val="hybridMultilevel"/>
    <w:tmpl w:val="32DCAE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509A5BD8"/>
    <w:multiLevelType w:val="hybridMultilevel"/>
    <w:tmpl w:val="936C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A86438"/>
    <w:multiLevelType w:val="hybridMultilevel"/>
    <w:tmpl w:val="020AA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B447A6"/>
    <w:multiLevelType w:val="hybridMultilevel"/>
    <w:tmpl w:val="D58CF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88"/>
    <w:rsid w:val="000215C7"/>
    <w:rsid w:val="00021A00"/>
    <w:rsid w:val="0002434B"/>
    <w:rsid w:val="00027A67"/>
    <w:rsid w:val="00033150"/>
    <w:rsid w:val="00036CD5"/>
    <w:rsid w:val="000472CD"/>
    <w:rsid w:val="00050045"/>
    <w:rsid w:val="000524E0"/>
    <w:rsid w:val="0005754B"/>
    <w:rsid w:val="00067A9A"/>
    <w:rsid w:val="0007269E"/>
    <w:rsid w:val="00075081"/>
    <w:rsid w:val="000806A9"/>
    <w:rsid w:val="00083000"/>
    <w:rsid w:val="00091E62"/>
    <w:rsid w:val="000A331C"/>
    <w:rsid w:val="000A5313"/>
    <w:rsid w:val="000A7B9B"/>
    <w:rsid w:val="000C085B"/>
    <w:rsid w:val="000C2D13"/>
    <w:rsid w:val="000C7351"/>
    <w:rsid w:val="000D721E"/>
    <w:rsid w:val="000E18EB"/>
    <w:rsid w:val="000E5206"/>
    <w:rsid w:val="000E70E6"/>
    <w:rsid w:val="000F599B"/>
    <w:rsid w:val="00100A99"/>
    <w:rsid w:val="0011776B"/>
    <w:rsid w:val="00142CE9"/>
    <w:rsid w:val="00167C07"/>
    <w:rsid w:val="001714B8"/>
    <w:rsid w:val="0017271C"/>
    <w:rsid w:val="00176907"/>
    <w:rsid w:val="00182FB8"/>
    <w:rsid w:val="0018791F"/>
    <w:rsid w:val="00196770"/>
    <w:rsid w:val="001A534E"/>
    <w:rsid w:val="001A572D"/>
    <w:rsid w:val="001C1682"/>
    <w:rsid w:val="001D071A"/>
    <w:rsid w:val="001D12A3"/>
    <w:rsid w:val="001E0513"/>
    <w:rsid w:val="001F6636"/>
    <w:rsid w:val="00201422"/>
    <w:rsid w:val="00220F42"/>
    <w:rsid w:val="00236323"/>
    <w:rsid w:val="002645CE"/>
    <w:rsid w:val="0027440B"/>
    <w:rsid w:val="00284E4F"/>
    <w:rsid w:val="00296837"/>
    <w:rsid w:val="00296C34"/>
    <w:rsid w:val="002B01A0"/>
    <w:rsid w:val="002C0CF0"/>
    <w:rsid w:val="002D2DDF"/>
    <w:rsid w:val="002D63B7"/>
    <w:rsid w:val="002E0EF1"/>
    <w:rsid w:val="002E248D"/>
    <w:rsid w:val="002E2534"/>
    <w:rsid w:val="00313AE8"/>
    <w:rsid w:val="0033779E"/>
    <w:rsid w:val="00343DE7"/>
    <w:rsid w:val="00347C76"/>
    <w:rsid w:val="00352F96"/>
    <w:rsid w:val="003811CE"/>
    <w:rsid w:val="00383B1B"/>
    <w:rsid w:val="00384F92"/>
    <w:rsid w:val="003A35D5"/>
    <w:rsid w:val="003B20E6"/>
    <w:rsid w:val="003B7B70"/>
    <w:rsid w:val="003D00C4"/>
    <w:rsid w:val="003E2029"/>
    <w:rsid w:val="003E6DD6"/>
    <w:rsid w:val="00407D89"/>
    <w:rsid w:val="004122D7"/>
    <w:rsid w:val="0041324A"/>
    <w:rsid w:val="004254D8"/>
    <w:rsid w:val="0042700F"/>
    <w:rsid w:val="004422AB"/>
    <w:rsid w:val="00444248"/>
    <w:rsid w:val="00445E9F"/>
    <w:rsid w:val="00451262"/>
    <w:rsid w:val="00452FD2"/>
    <w:rsid w:val="00473A4D"/>
    <w:rsid w:val="00473CC3"/>
    <w:rsid w:val="004779BB"/>
    <w:rsid w:val="00477D73"/>
    <w:rsid w:val="004A0E80"/>
    <w:rsid w:val="004B0E03"/>
    <w:rsid w:val="004C6940"/>
    <w:rsid w:val="004D1D15"/>
    <w:rsid w:val="004D2C21"/>
    <w:rsid w:val="004E17B5"/>
    <w:rsid w:val="004F16E8"/>
    <w:rsid w:val="004F20B2"/>
    <w:rsid w:val="004F3100"/>
    <w:rsid w:val="00500DA6"/>
    <w:rsid w:val="00523F13"/>
    <w:rsid w:val="00543A3D"/>
    <w:rsid w:val="00544E71"/>
    <w:rsid w:val="0055613A"/>
    <w:rsid w:val="00561478"/>
    <w:rsid w:val="00576625"/>
    <w:rsid w:val="00595CFC"/>
    <w:rsid w:val="005A5FA2"/>
    <w:rsid w:val="005B65B2"/>
    <w:rsid w:val="005C63F7"/>
    <w:rsid w:val="005C6B3F"/>
    <w:rsid w:val="005E6F3F"/>
    <w:rsid w:val="005E7A47"/>
    <w:rsid w:val="00600DB2"/>
    <w:rsid w:val="006063F2"/>
    <w:rsid w:val="00620B73"/>
    <w:rsid w:val="00643D48"/>
    <w:rsid w:val="00650730"/>
    <w:rsid w:val="006522C9"/>
    <w:rsid w:val="006540B3"/>
    <w:rsid w:val="0065723A"/>
    <w:rsid w:val="00676263"/>
    <w:rsid w:val="00676839"/>
    <w:rsid w:val="00676CEC"/>
    <w:rsid w:val="0068130A"/>
    <w:rsid w:val="00684902"/>
    <w:rsid w:val="00694622"/>
    <w:rsid w:val="006949DB"/>
    <w:rsid w:val="006A4C7A"/>
    <w:rsid w:val="006D1A15"/>
    <w:rsid w:val="006D27B5"/>
    <w:rsid w:val="006F6895"/>
    <w:rsid w:val="007034EF"/>
    <w:rsid w:val="007221F8"/>
    <w:rsid w:val="007253C4"/>
    <w:rsid w:val="00725E88"/>
    <w:rsid w:val="00737939"/>
    <w:rsid w:val="00743F7C"/>
    <w:rsid w:val="00745DE5"/>
    <w:rsid w:val="00745DFB"/>
    <w:rsid w:val="00755547"/>
    <w:rsid w:val="00771543"/>
    <w:rsid w:val="00786293"/>
    <w:rsid w:val="00792F8B"/>
    <w:rsid w:val="00793648"/>
    <w:rsid w:val="007C46E1"/>
    <w:rsid w:val="007F3F81"/>
    <w:rsid w:val="007F6A99"/>
    <w:rsid w:val="0080544B"/>
    <w:rsid w:val="00814280"/>
    <w:rsid w:val="008165A3"/>
    <w:rsid w:val="00823BC6"/>
    <w:rsid w:val="00826420"/>
    <w:rsid w:val="008346F3"/>
    <w:rsid w:val="008411FB"/>
    <w:rsid w:val="00854337"/>
    <w:rsid w:val="00863E45"/>
    <w:rsid w:val="00863FC4"/>
    <w:rsid w:val="00866C34"/>
    <w:rsid w:val="008700D0"/>
    <w:rsid w:val="00870723"/>
    <w:rsid w:val="00881A4A"/>
    <w:rsid w:val="0088574B"/>
    <w:rsid w:val="00887C09"/>
    <w:rsid w:val="00896173"/>
    <w:rsid w:val="008B0FFA"/>
    <w:rsid w:val="008C1B12"/>
    <w:rsid w:val="008C7083"/>
    <w:rsid w:val="008D362C"/>
    <w:rsid w:val="008E6AB8"/>
    <w:rsid w:val="008F470B"/>
    <w:rsid w:val="00901C40"/>
    <w:rsid w:val="00902732"/>
    <w:rsid w:val="00915F41"/>
    <w:rsid w:val="0091747B"/>
    <w:rsid w:val="00930EBA"/>
    <w:rsid w:val="009418AF"/>
    <w:rsid w:val="00951D9F"/>
    <w:rsid w:val="009522F1"/>
    <w:rsid w:val="00955047"/>
    <w:rsid w:val="00961C09"/>
    <w:rsid w:val="00961D75"/>
    <w:rsid w:val="00964926"/>
    <w:rsid w:val="00970472"/>
    <w:rsid w:val="009750D9"/>
    <w:rsid w:val="00977BAF"/>
    <w:rsid w:val="009B6AC1"/>
    <w:rsid w:val="009C1DF0"/>
    <w:rsid w:val="009D332C"/>
    <w:rsid w:val="009E0586"/>
    <w:rsid w:val="009E1E68"/>
    <w:rsid w:val="009F4C2A"/>
    <w:rsid w:val="009F7AB2"/>
    <w:rsid w:val="00A00C5D"/>
    <w:rsid w:val="00A02693"/>
    <w:rsid w:val="00A16098"/>
    <w:rsid w:val="00A40290"/>
    <w:rsid w:val="00A622B4"/>
    <w:rsid w:val="00A82548"/>
    <w:rsid w:val="00A84039"/>
    <w:rsid w:val="00A87980"/>
    <w:rsid w:val="00AB181E"/>
    <w:rsid w:val="00AB2961"/>
    <w:rsid w:val="00AB6E20"/>
    <w:rsid w:val="00AB7001"/>
    <w:rsid w:val="00AC145F"/>
    <w:rsid w:val="00AC1526"/>
    <w:rsid w:val="00AD6F18"/>
    <w:rsid w:val="00AE0740"/>
    <w:rsid w:val="00B03DB1"/>
    <w:rsid w:val="00B158A0"/>
    <w:rsid w:val="00B27BD0"/>
    <w:rsid w:val="00B358DA"/>
    <w:rsid w:val="00B36C40"/>
    <w:rsid w:val="00B4523F"/>
    <w:rsid w:val="00B508EB"/>
    <w:rsid w:val="00B55421"/>
    <w:rsid w:val="00B55438"/>
    <w:rsid w:val="00B557D6"/>
    <w:rsid w:val="00B60A79"/>
    <w:rsid w:val="00B8793E"/>
    <w:rsid w:val="00B9046D"/>
    <w:rsid w:val="00B92B17"/>
    <w:rsid w:val="00B9598A"/>
    <w:rsid w:val="00BB671D"/>
    <w:rsid w:val="00BC2C2C"/>
    <w:rsid w:val="00BC4E9D"/>
    <w:rsid w:val="00BC66E8"/>
    <w:rsid w:val="00BD578E"/>
    <w:rsid w:val="00BD5B19"/>
    <w:rsid w:val="00BD6496"/>
    <w:rsid w:val="00BD6CEF"/>
    <w:rsid w:val="00BE1310"/>
    <w:rsid w:val="00BE692B"/>
    <w:rsid w:val="00BF0D67"/>
    <w:rsid w:val="00BF70C3"/>
    <w:rsid w:val="00BF765C"/>
    <w:rsid w:val="00C00F0E"/>
    <w:rsid w:val="00C0436C"/>
    <w:rsid w:val="00C175AE"/>
    <w:rsid w:val="00C34FE3"/>
    <w:rsid w:val="00C377BA"/>
    <w:rsid w:val="00C3794C"/>
    <w:rsid w:val="00C41257"/>
    <w:rsid w:val="00C462D5"/>
    <w:rsid w:val="00C50B2B"/>
    <w:rsid w:val="00C7429B"/>
    <w:rsid w:val="00C75E2D"/>
    <w:rsid w:val="00C82237"/>
    <w:rsid w:val="00C83AF3"/>
    <w:rsid w:val="00C91CCC"/>
    <w:rsid w:val="00C92D7C"/>
    <w:rsid w:val="00CA3246"/>
    <w:rsid w:val="00CB075E"/>
    <w:rsid w:val="00CE0A4D"/>
    <w:rsid w:val="00CF0113"/>
    <w:rsid w:val="00CF60A5"/>
    <w:rsid w:val="00D03EBE"/>
    <w:rsid w:val="00D17CC5"/>
    <w:rsid w:val="00D17E93"/>
    <w:rsid w:val="00D331E8"/>
    <w:rsid w:val="00D52F89"/>
    <w:rsid w:val="00D5377B"/>
    <w:rsid w:val="00D555A0"/>
    <w:rsid w:val="00D56295"/>
    <w:rsid w:val="00D61591"/>
    <w:rsid w:val="00D65A76"/>
    <w:rsid w:val="00D76FCB"/>
    <w:rsid w:val="00D77918"/>
    <w:rsid w:val="00D93D12"/>
    <w:rsid w:val="00D947D5"/>
    <w:rsid w:val="00D9587C"/>
    <w:rsid w:val="00DB7B7C"/>
    <w:rsid w:val="00DC38E4"/>
    <w:rsid w:val="00DD5D34"/>
    <w:rsid w:val="00DF4DF7"/>
    <w:rsid w:val="00DF6734"/>
    <w:rsid w:val="00DF68B7"/>
    <w:rsid w:val="00E01480"/>
    <w:rsid w:val="00E05E86"/>
    <w:rsid w:val="00E060CB"/>
    <w:rsid w:val="00E1546D"/>
    <w:rsid w:val="00E1725A"/>
    <w:rsid w:val="00E20DE8"/>
    <w:rsid w:val="00E25188"/>
    <w:rsid w:val="00E33078"/>
    <w:rsid w:val="00E36B98"/>
    <w:rsid w:val="00E402F2"/>
    <w:rsid w:val="00E41815"/>
    <w:rsid w:val="00E46A21"/>
    <w:rsid w:val="00E642EE"/>
    <w:rsid w:val="00E94D10"/>
    <w:rsid w:val="00E96739"/>
    <w:rsid w:val="00E96A39"/>
    <w:rsid w:val="00EA1392"/>
    <w:rsid w:val="00EA35B0"/>
    <w:rsid w:val="00EA6BBA"/>
    <w:rsid w:val="00ED0258"/>
    <w:rsid w:val="00ED4B10"/>
    <w:rsid w:val="00ED52D8"/>
    <w:rsid w:val="00EE1D42"/>
    <w:rsid w:val="00EE3299"/>
    <w:rsid w:val="00EE4FA3"/>
    <w:rsid w:val="00F010E0"/>
    <w:rsid w:val="00F26D04"/>
    <w:rsid w:val="00F27F7E"/>
    <w:rsid w:val="00F3266D"/>
    <w:rsid w:val="00F3440B"/>
    <w:rsid w:val="00F35198"/>
    <w:rsid w:val="00F47442"/>
    <w:rsid w:val="00F578F6"/>
    <w:rsid w:val="00F648AA"/>
    <w:rsid w:val="00F71C96"/>
    <w:rsid w:val="00F73206"/>
    <w:rsid w:val="00F82D7F"/>
    <w:rsid w:val="00F96CC0"/>
    <w:rsid w:val="00FA336F"/>
    <w:rsid w:val="00FA7F78"/>
    <w:rsid w:val="00FB1DD0"/>
    <w:rsid w:val="00FB6C4B"/>
    <w:rsid w:val="00FF1A81"/>
    <w:rsid w:val="00F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188"/>
    <w:pPr>
      <w:ind w:left="720"/>
      <w:contextualSpacing/>
    </w:pPr>
  </w:style>
  <w:style w:type="paragraph" w:styleId="Header">
    <w:name w:val="header"/>
    <w:basedOn w:val="Normal"/>
    <w:link w:val="HeaderChar"/>
    <w:uiPriority w:val="99"/>
    <w:semiHidden/>
    <w:unhideWhenUsed/>
    <w:rsid w:val="00BF0D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D67"/>
  </w:style>
  <w:style w:type="paragraph" w:styleId="Footer">
    <w:name w:val="footer"/>
    <w:basedOn w:val="Normal"/>
    <w:link w:val="FooterChar"/>
    <w:uiPriority w:val="99"/>
    <w:unhideWhenUsed/>
    <w:rsid w:val="00BF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D67"/>
  </w:style>
  <w:style w:type="paragraph" w:styleId="BalloonText">
    <w:name w:val="Balloon Text"/>
    <w:basedOn w:val="Normal"/>
    <w:link w:val="BalloonTextChar"/>
    <w:uiPriority w:val="99"/>
    <w:semiHidden/>
    <w:unhideWhenUsed/>
    <w:rsid w:val="00BF0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67"/>
    <w:rPr>
      <w:rFonts w:ascii="Tahoma" w:hAnsi="Tahoma" w:cs="Tahoma"/>
      <w:sz w:val="16"/>
      <w:szCs w:val="16"/>
    </w:rPr>
  </w:style>
  <w:style w:type="table" w:styleId="MediumGrid3-Accent1">
    <w:name w:val="Medium Grid 3 Accent 1"/>
    <w:basedOn w:val="TableNormal"/>
    <w:uiPriority w:val="69"/>
    <w:rsid w:val="00D17E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188"/>
    <w:pPr>
      <w:ind w:left="720"/>
      <w:contextualSpacing/>
    </w:pPr>
  </w:style>
  <w:style w:type="paragraph" w:styleId="Header">
    <w:name w:val="header"/>
    <w:basedOn w:val="Normal"/>
    <w:link w:val="HeaderChar"/>
    <w:uiPriority w:val="99"/>
    <w:semiHidden/>
    <w:unhideWhenUsed/>
    <w:rsid w:val="00BF0D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D67"/>
  </w:style>
  <w:style w:type="paragraph" w:styleId="Footer">
    <w:name w:val="footer"/>
    <w:basedOn w:val="Normal"/>
    <w:link w:val="FooterChar"/>
    <w:uiPriority w:val="99"/>
    <w:unhideWhenUsed/>
    <w:rsid w:val="00BF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D67"/>
  </w:style>
  <w:style w:type="paragraph" w:styleId="BalloonText">
    <w:name w:val="Balloon Text"/>
    <w:basedOn w:val="Normal"/>
    <w:link w:val="BalloonTextChar"/>
    <w:uiPriority w:val="99"/>
    <w:semiHidden/>
    <w:unhideWhenUsed/>
    <w:rsid w:val="00BF0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67"/>
    <w:rPr>
      <w:rFonts w:ascii="Tahoma" w:hAnsi="Tahoma" w:cs="Tahoma"/>
      <w:sz w:val="16"/>
      <w:szCs w:val="16"/>
    </w:rPr>
  </w:style>
  <w:style w:type="table" w:styleId="MediumGrid3-Accent1">
    <w:name w:val="Medium Grid 3 Accent 1"/>
    <w:basedOn w:val="TableNormal"/>
    <w:uiPriority w:val="69"/>
    <w:rsid w:val="00D17E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Wachovia</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WSI</dc:creator>
  <cp:lastModifiedBy>Dawn</cp:lastModifiedBy>
  <cp:revision>2</cp:revision>
  <cp:lastPrinted>2016-01-29T00:56:00Z</cp:lastPrinted>
  <dcterms:created xsi:type="dcterms:W3CDTF">2016-02-01T18:36:00Z</dcterms:created>
  <dcterms:modified xsi:type="dcterms:W3CDTF">2016-02-01T18:36:00Z</dcterms:modified>
</cp:coreProperties>
</file>